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2860" w14:textId="77777777" w:rsidR="007C3298" w:rsidRDefault="00000000">
      <w:pPr>
        <w:spacing w:after="240"/>
        <w:jc w:val="right"/>
      </w:pPr>
      <w:r>
        <w:rPr>
          <w:b/>
          <w:sz w:val="22"/>
        </w:rPr>
        <w:t>בס"ד</w:t>
      </w:r>
    </w:p>
    <w:p w14:paraId="4F6BB0C8" w14:textId="77777777" w:rsidR="007C3298" w:rsidRDefault="00000000">
      <w:pPr>
        <w:spacing w:after="80"/>
        <w:jc w:val="center"/>
      </w:pPr>
      <w:r>
        <w:rPr>
          <w:b/>
          <w:sz w:val="40"/>
        </w:rPr>
        <w:t>תשובה תתאה לעומת תשובה עילאה</w:t>
      </w:r>
    </w:p>
    <w:p w14:paraId="040C14A5" w14:textId="77777777" w:rsidR="007C3298" w:rsidRDefault="00000000">
      <w:pPr>
        <w:jc w:val="right"/>
      </w:pPr>
      <w:proofErr w:type="spellStart"/>
      <w:r>
        <w:t>ההבחנה</w:t>
      </w:r>
      <w:proofErr w:type="spellEnd"/>
      <w:r>
        <w:t xml:space="preserve"> </w:t>
      </w:r>
      <w:proofErr w:type="spellStart"/>
      <w:r>
        <w:t>המרכזית</w:t>
      </w:r>
      <w:proofErr w:type="spellEnd"/>
      <w:r>
        <w:t xml:space="preserve"> </w:t>
      </w:r>
      <w:proofErr w:type="spellStart"/>
      <w:r>
        <w:t>בין</w:t>
      </w:r>
      <w:proofErr w:type="spellEnd"/>
      <w:r>
        <w:t xml:space="preserve"> </w:t>
      </w:r>
      <w:proofErr w:type="spellStart"/>
      <w:r>
        <w:t>תשובה</w:t>
      </w:r>
      <w:proofErr w:type="spellEnd"/>
      <w:r>
        <w:t xml:space="preserve"> תתאה לבין תשובה עילאה אינה רק בדרגת התשובה, אלא גם </w:t>
      </w:r>
      <w:proofErr w:type="spellStart"/>
      <w:r>
        <w:t>במניע</w:t>
      </w:r>
      <w:proofErr w:type="spellEnd"/>
      <w:r>
        <w:t xml:space="preserve">, </w:t>
      </w:r>
      <w:proofErr w:type="spellStart"/>
      <w:r>
        <w:t>בתודעה</w:t>
      </w:r>
      <w:proofErr w:type="spellEnd"/>
      <w:r>
        <w:t xml:space="preserve"> </w:t>
      </w:r>
      <w:proofErr w:type="spellStart"/>
      <w:r>
        <w:t>ובדרך</w:t>
      </w:r>
      <w:proofErr w:type="spellEnd"/>
      <w:r>
        <w:t xml:space="preserve"> </w:t>
      </w:r>
      <w:proofErr w:type="spellStart"/>
      <w:r>
        <w:t>התיקון</w:t>
      </w:r>
      <w:proofErr w:type="spellEnd"/>
      <w:r>
        <w:t>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7C3298" w14:paraId="23FD953C" w14:textId="77777777">
        <w:trPr>
          <w:jc w:val="center"/>
        </w:trPr>
        <w:tc>
          <w:tcPr>
            <w:tcW w:w="3400" w:type="dxa"/>
            <w:vAlign w:val="center"/>
          </w:tcPr>
          <w:p w14:paraId="5E80B550" w14:textId="77777777" w:rsidR="007C3298" w:rsidRDefault="00000000">
            <w:pPr>
              <w:jc w:val="center"/>
            </w:pPr>
            <w:r>
              <w:rPr>
                <w:b/>
              </w:rPr>
              <w:t>תשובה תתאה</w:t>
            </w:r>
          </w:p>
        </w:tc>
        <w:tc>
          <w:tcPr>
            <w:tcW w:w="3400" w:type="dxa"/>
            <w:vAlign w:val="center"/>
          </w:tcPr>
          <w:p w14:paraId="0AB8A0D2" w14:textId="77777777" w:rsidR="007C3298" w:rsidRDefault="00000000">
            <w:pPr>
              <w:jc w:val="center"/>
            </w:pPr>
            <w:r>
              <w:rPr>
                <w:b/>
              </w:rPr>
              <w:t>נקודת ההשוואה</w:t>
            </w:r>
          </w:p>
        </w:tc>
        <w:tc>
          <w:tcPr>
            <w:tcW w:w="3400" w:type="dxa"/>
            <w:vAlign w:val="center"/>
          </w:tcPr>
          <w:p w14:paraId="67FE5B33" w14:textId="77777777" w:rsidR="007C3298" w:rsidRDefault="00000000">
            <w:pPr>
              <w:jc w:val="center"/>
            </w:pPr>
            <w:r>
              <w:rPr>
                <w:b/>
              </w:rPr>
              <w:t>תשובה עילאה</w:t>
            </w:r>
          </w:p>
        </w:tc>
      </w:tr>
      <w:tr w:rsidR="007C3298" w14:paraId="68EDE02F" w14:textId="77777777">
        <w:trPr>
          <w:jc w:val="center"/>
        </w:trPr>
        <w:tc>
          <w:tcPr>
            <w:tcW w:w="3400" w:type="dxa"/>
            <w:vAlign w:val="center"/>
          </w:tcPr>
          <w:p w14:paraId="5252F33E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תשובה מתוך יראה</w:t>
            </w:r>
          </w:p>
        </w:tc>
        <w:tc>
          <w:tcPr>
            <w:tcW w:w="3400" w:type="dxa"/>
            <w:vAlign w:val="center"/>
          </w:tcPr>
          <w:p w14:paraId="534A6033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המניע</w:t>
            </w:r>
          </w:p>
        </w:tc>
        <w:tc>
          <w:tcPr>
            <w:tcW w:w="3400" w:type="dxa"/>
            <w:vAlign w:val="center"/>
          </w:tcPr>
          <w:p w14:paraId="675953B9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תשובה מתוך אהבה</w:t>
            </w:r>
          </w:p>
        </w:tc>
      </w:tr>
      <w:tr w:rsidR="007C3298" w14:paraId="05903D51" w14:textId="77777777">
        <w:trPr>
          <w:jc w:val="center"/>
        </w:trPr>
        <w:tc>
          <w:tcPr>
            <w:tcW w:w="3400" w:type="dxa"/>
            <w:vAlign w:val="center"/>
          </w:tcPr>
          <w:p w14:paraId="08BE4E35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נובעת בעיקר מיראת העונש</w:t>
            </w:r>
          </w:p>
        </w:tc>
        <w:tc>
          <w:tcPr>
            <w:tcW w:w="3400" w:type="dxa"/>
            <w:vAlign w:val="center"/>
          </w:tcPr>
          <w:p w14:paraId="07CB06A6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מקור ההתעוררות</w:t>
            </w:r>
          </w:p>
        </w:tc>
        <w:tc>
          <w:tcPr>
            <w:tcW w:w="3400" w:type="dxa"/>
            <w:vAlign w:val="center"/>
          </w:tcPr>
          <w:p w14:paraId="12CAB50C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נובעת מאהבת ה' וקירבתו</w:t>
            </w:r>
          </w:p>
        </w:tc>
      </w:tr>
      <w:tr w:rsidR="007C3298" w14:paraId="1367CD12" w14:textId="77777777">
        <w:trPr>
          <w:jc w:val="center"/>
        </w:trPr>
        <w:tc>
          <w:tcPr>
            <w:tcW w:w="3400" w:type="dxa"/>
            <w:vAlign w:val="center"/>
          </w:tcPr>
          <w:p w14:paraId="098D097F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מתמקדת בעזיבת החטא, בחרטה ובקבלה שלא לחזור אליו</w:t>
            </w:r>
          </w:p>
        </w:tc>
        <w:tc>
          <w:tcPr>
            <w:tcW w:w="3400" w:type="dxa"/>
            <w:vAlign w:val="center"/>
          </w:tcPr>
          <w:p w14:paraId="02B2020A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מוקד העבודה</w:t>
            </w:r>
          </w:p>
        </w:tc>
        <w:tc>
          <w:tcPr>
            <w:tcW w:w="3400" w:type="dxa"/>
            <w:vAlign w:val="center"/>
          </w:tcPr>
          <w:p w14:paraId="0204F641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התעלות לאהבת ה' ולדבקות בו</w:t>
            </w:r>
          </w:p>
        </w:tc>
      </w:tr>
      <w:tr w:rsidR="007C3298" w14:paraId="3303BA5E" w14:textId="77777777">
        <w:trPr>
          <w:jc w:val="center"/>
        </w:trPr>
        <w:tc>
          <w:tcPr>
            <w:tcW w:w="3400" w:type="dxa"/>
            <w:vAlign w:val="center"/>
          </w:tcPr>
          <w:p w14:paraId="1032F185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האדם יוצא מן החטא</w:t>
            </w:r>
          </w:p>
        </w:tc>
        <w:tc>
          <w:tcPr>
            <w:tcW w:w="3400" w:type="dxa"/>
            <w:vAlign w:val="center"/>
          </w:tcPr>
          <w:p w14:paraId="0D684033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תנועת התיקון</w:t>
            </w:r>
          </w:p>
        </w:tc>
        <w:tc>
          <w:tcPr>
            <w:tcW w:w="3400" w:type="dxa"/>
            <w:vAlign w:val="center"/>
          </w:tcPr>
          <w:p w14:paraId="73738D61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האדם יוצא מן הצמצום אל המרחב, האהבה וגדלות הדעת</w:t>
            </w:r>
          </w:p>
        </w:tc>
      </w:tr>
      <w:tr w:rsidR="007C3298" w14:paraId="43D46A4C" w14:textId="77777777">
        <w:trPr>
          <w:jc w:val="center"/>
        </w:trPr>
        <w:tc>
          <w:tcPr>
            <w:tcW w:w="3400" w:type="dxa"/>
            <w:vAlign w:val="center"/>
          </w:tcPr>
          <w:p w14:paraId="311180CA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היסורים והעונשים יכולים להביא את האדם לתשובה</w:t>
            </w:r>
          </w:p>
        </w:tc>
        <w:tc>
          <w:tcPr>
            <w:tcW w:w="3400" w:type="dxa"/>
            <w:vAlign w:val="center"/>
          </w:tcPr>
          <w:p w14:paraId="07869AA8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דרך ההתעוררות</w:t>
            </w:r>
          </w:p>
        </w:tc>
        <w:tc>
          <w:tcPr>
            <w:tcW w:w="3400" w:type="dxa"/>
            <w:vAlign w:val="center"/>
          </w:tcPr>
          <w:p w14:paraId="51E7C744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התעוררות פנימית של אהבה וקדושה</w:t>
            </w:r>
          </w:p>
        </w:tc>
      </w:tr>
      <w:tr w:rsidR="007C3298" w14:paraId="1A021B65" w14:textId="77777777">
        <w:trPr>
          <w:jc w:val="center"/>
        </w:trPr>
        <w:tc>
          <w:tcPr>
            <w:tcW w:w="3400" w:type="dxa"/>
            <w:vAlign w:val="center"/>
          </w:tcPr>
          <w:p w14:paraId="46FEC358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תיקון החטא והתרחקות ממנו</w:t>
            </w:r>
          </w:p>
        </w:tc>
        <w:tc>
          <w:tcPr>
            <w:tcW w:w="3400" w:type="dxa"/>
            <w:vAlign w:val="center"/>
          </w:tcPr>
          <w:p w14:paraId="3698E9BA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תכלית</w:t>
            </w:r>
          </w:p>
        </w:tc>
        <w:tc>
          <w:tcPr>
            <w:tcW w:w="3400" w:type="dxa"/>
            <w:vAlign w:val="center"/>
          </w:tcPr>
          <w:p w14:paraId="234B477C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שינוי עמוק של מצבו הרוחני וקירבתו לה'</w:t>
            </w:r>
          </w:p>
        </w:tc>
      </w:tr>
      <w:tr w:rsidR="007C3298" w14:paraId="2D997ED8" w14:textId="77777777">
        <w:trPr>
          <w:jc w:val="center"/>
        </w:trPr>
        <w:tc>
          <w:tcPr>
            <w:tcW w:w="3400" w:type="dxa"/>
            <w:vAlign w:val="center"/>
          </w:tcPr>
          <w:p w14:paraId="5DE19FC5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מתאימה לתיקון החטא בדרך התשובה הרגילה</w:t>
            </w:r>
          </w:p>
        </w:tc>
        <w:tc>
          <w:tcPr>
            <w:tcW w:w="3400" w:type="dxa"/>
            <w:vAlign w:val="center"/>
          </w:tcPr>
          <w:p w14:paraId="33BB3D9B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תחום התיקון</w:t>
            </w:r>
          </w:p>
        </w:tc>
        <w:tc>
          <w:tcPr>
            <w:tcW w:w="3400" w:type="dxa"/>
            <w:vAlign w:val="center"/>
          </w:tcPr>
          <w:p w14:paraId="31373282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מביאה תיקון גם לפגמים קשים שעליהם תשובה תתאה אינה מועילה</w:t>
            </w:r>
          </w:p>
        </w:tc>
      </w:tr>
      <w:tr w:rsidR="007C3298" w14:paraId="0B881C37" w14:textId="77777777">
        <w:trPr>
          <w:jc w:val="center"/>
        </w:trPr>
        <w:tc>
          <w:tcPr>
            <w:tcW w:w="3400" w:type="dxa"/>
            <w:vAlign w:val="center"/>
          </w:tcPr>
          <w:p w14:paraId="74A3E13C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מן החטא אל התשובה</w:t>
            </w:r>
          </w:p>
        </w:tc>
        <w:tc>
          <w:tcPr>
            <w:tcW w:w="3400" w:type="dxa"/>
            <w:vAlign w:val="center"/>
          </w:tcPr>
          <w:p w14:paraId="4E04A08D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כיוון התנועה</w:t>
            </w:r>
          </w:p>
        </w:tc>
        <w:tc>
          <w:tcPr>
            <w:tcW w:w="3400" w:type="dxa"/>
            <w:vAlign w:val="center"/>
          </w:tcPr>
          <w:p w14:paraId="22900E7A" w14:textId="77777777" w:rsidR="007C3298" w:rsidRDefault="00000000">
            <w:pPr>
              <w:spacing w:after="40"/>
              <w:jc w:val="right"/>
            </w:pPr>
            <w:r>
              <w:rPr>
                <w:sz w:val="21"/>
              </w:rPr>
              <w:t>מן הצמצום אל המרחב, האהבה והדבקות</w:t>
            </w:r>
          </w:p>
        </w:tc>
      </w:tr>
    </w:tbl>
    <w:p w14:paraId="7C3DA0D8" w14:textId="77777777" w:rsidR="007C3298" w:rsidRDefault="00000000">
      <w:pPr>
        <w:spacing w:after="160"/>
        <w:jc w:val="right"/>
      </w:pPr>
      <w:proofErr w:type="spellStart"/>
      <w:r>
        <w:rPr>
          <w:b/>
          <w:sz w:val="32"/>
        </w:rPr>
        <w:t>העקרונות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של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תשובה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תתאה</w:t>
      </w:r>
      <w:proofErr w:type="spellEnd"/>
    </w:p>
    <w:p w14:paraId="635080C4" w14:textId="77777777" w:rsidR="007C3298" w:rsidRDefault="00000000">
      <w:pPr>
        <w:spacing w:after="60"/>
        <w:jc w:val="right"/>
      </w:pPr>
      <w:r>
        <w:t>• עזיבת החטא.</w:t>
      </w:r>
    </w:p>
    <w:p w14:paraId="2268DA9D" w14:textId="77777777" w:rsidR="007C3298" w:rsidRDefault="00000000">
      <w:pPr>
        <w:spacing w:after="60"/>
        <w:jc w:val="right"/>
      </w:pPr>
      <w:r>
        <w:t>• הסרת החטא מן המחשבה.</w:t>
      </w:r>
    </w:p>
    <w:p w14:paraId="2B9772BB" w14:textId="77777777" w:rsidR="007C3298" w:rsidRDefault="00000000">
      <w:pPr>
        <w:spacing w:after="60"/>
        <w:jc w:val="right"/>
      </w:pPr>
      <w:r>
        <w:t>• גמירת הלב שלא לעשותו עוד.</w:t>
      </w:r>
    </w:p>
    <w:p w14:paraId="6C194486" w14:textId="77777777" w:rsidR="007C3298" w:rsidRDefault="00000000">
      <w:pPr>
        <w:spacing w:after="60"/>
        <w:jc w:val="right"/>
      </w:pPr>
      <w:r>
        <w:t>• חרטה על מה שנעשה.</w:t>
      </w:r>
    </w:p>
    <w:p w14:paraId="2066CBA8" w14:textId="77777777" w:rsidR="007C3298" w:rsidRDefault="00000000">
      <w:pPr>
        <w:spacing w:after="60"/>
        <w:jc w:val="right"/>
      </w:pPr>
      <w:r>
        <w:t>• וידוי בפה.</w:t>
      </w:r>
    </w:p>
    <w:p w14:paraId="229FB2FE" w14:textId="77777777" w:rsidR="007C3298" w:rsidRDefault="00000000">
      <w:pPr>
        <w:spacing w:after="60"/>
        <w:jc w:val="right"/>
      </w:pPr>
      <w:r>
        <w:t>• יראת העונש היא מניע מרכזי.</w:t>
      </w:r>
    </w:p>
    <w:p w14:paraId="63A26E46" w14:textId="77777777" w:rsidR="007C3298" w:rsidRDefault="00000000">
      <w:pPr>
        <w:spacing w:after="60"/>
        <w:jc w:val="right"/>
      </w:pPr>
      <w:r>
        <w:t>• היא נקראת תשובה מיראה.</w:t>
      </w:r>
    </w:p>
    <w:p w14:paraId="696D4F84" w14:textId="77777777" w:rsidR="007C3298" w:rsidRDefault="00000000">
      <w:pPr>
        <w:spacing w:after="60"/>
        <w:jc w:val="right"/>
      </w:pPr>
      <w:r>
        <w:t>• התנועה היא בעיקר: מן החטא אל התשובה.</w:t>
      </w:r>
    </w:p>
    <w:p w14:paraId="21905DDC" w14:textId="77777777" w:rsidR="007C3298" w:rsidRDefault="00000000">
      <w:pPr>
        <w:spacing w:after="160"/>
        <w:jc w:val="right"/>
      </w:pPr>
      <w:r>
        <w:rPr>
          <w:b/>
          <w:sz w:val="32"/>
        </w:rPr>
        <w:t>העקרונות של תשובה עילאה</w:t>
      </w:r>
    </w:p>
    <w:p w14:paraId="3A6D91C5" w14:textId="77777777" w:rsidR="007C3298" w:rsidRDefault="00000000">
      <w:pPr>
        <w:spacing w:after="120"/>
        <w:jc w:val="right"/>
      </w:pPr>
      <w:r>
        <w:rPr>
          <w:b/>
        </w:rPr>
        <w:t xml:space="preserve">תשובה מאהבה: </w:t>
      </w:r>
      <w:r>
        <w:t>התעוררות של אהבת ה' גדולה ועזה, עד שהאדם נעשה כ"חולה חולי אהבה".</w:t>
      </w:r>
    </w:p>
    <w:p w14:paraId="187E0C09" w14:textId="77777777" w:rsidR="007C3298" w:rsidRDefault="00000000">
      <w:pPr>
        <w:spacing w:after="120"/>
        <w:jc w:val="right"/>
      </w:pPr>
      <w:r>
        <w:rPr>
          <w:b/>
        </w:rPr>
        <w:t xml:space="preserve">יציאה מצמצום למרחב: </w:t>
      </w:r>
      <w:r>
        <w:t>האדם יוצא מן ההתמקדות בעצמו ובתאוותיו אל גדלות הדעת, ראיית הבורא, גדולתו, תפקידו וייעודו.</w:t>
      </w:r>
    </w:p>
    <w:p w14:paraId="36A0641A" w14:textId="77777777" w:rsidR="007C3298" w:rsidRDefault="00000000">
      <w:pPr>
        <w:spacing w:after="120"/>
        <w:jc w:val="right"/>
      </w:pPr>
      <w:r>
        <w:rPr>
          <w:b/>
        </w:rPr>
        <w:t xml:space="preserve">אהבת ה' שממיסה את התאווה: </w:t>
      </w:r>
      <w:r>
        <w:t>כאשר האדם חש את התענוג שבאהבת ה', בקירבתו ובעבודתו, התאוות וההנאות הבהמיות נעשות מאוסות בעיניו.</w:t>
      </w:r>
    </w:p>
    <w:p w14:paraId="422D0114" w14:textId="77777777" w:rsidR="007C3298" w:rsidRDefault="00000000">
      <w:pPr>
        <w:spacing w:after="120"/>
        <w:jc w:val="right"/>
      </w:pPr>
      <w:r>
        <w:rPr>
          <w:b/>
        </w:rPr>
        <w:t xml:space="preserve">אש של קדושה: </w:t>
      </w:r>
      <w:r>
        <w:t>במקום להילחם בכל מחשבה רעה בנפרד, האדם מלהיב את לבו באהבת ה' ובאש של קדושה, והיא שורפת את שורש האש הטמאה.</w:t>
      </w:r>
    </w:p>
    <w:p w14:paraId="538F289E" w14:textId="77777777" w:rsidR="007C3298" w:rsidRDefault="00000000">
      <w:pPr>
        <w:spacing w:after="120"/>
        <w:jc w:val="right"/>
      </w:pPr>
      <w:r>
        <w:rPr>
          <w:b/>
        </w:rPr>
        <w:t xml:space="preserve">מסירות נפש: </w:t>
      </w:r>
      <w:r>
        <w:t>תשובה עילאה יכולה לבוא גם באמצעות מסירות נפש לה', ובמיוחד כאשר החטא היה קשור לתאוות הגוף – התיקון הוא מסירת הגוף וההנאות לה'.</w:t>
      </w:r>
    </w:p>
    <w:p w14:paraId="361612C3" w14:textId="77777777" w:rsidR="007C3298" w:rsidRDefault="00000000">
      <w:pPr>
        <w:spacing w:after="120"/>
        <w:jc w:val="right"/>
      </w:pPr>
      <w:r>
        <w:rPr>
          <w:b/>
        </w:rPr>
        <w:t xml:space="preserve">תיקון פגמים קשים: </w:t>
      </w:r>
      <w:r>
        <w:t>על פי הקטע, יש פגמים שעליהם תשובה תתאה אינה מועילה, ותשובה עילאה כן מועילה; הדוגמה המובאת היא פגמי ברית וחטאת נעורים.</w:t>
      </w:r>
    </w:p>
    <w:p w14:paraId="07DA82C2" w14:textId="77777777" w:rsidR="007C3298" w:rsidRDefault="00000000">
      <w:pPr>
        <w:spacing w:after="160"/>
        <w:jc w:val="right"/>
      </w:pPr>
      <w:r>
        <w:rPr>
          <w:b/>
          <w:sz w:val="32"/>
        </w:rPr>
        <w:t>במשפט אחד</w:t>
      </w:r>
    </w:p>
    <w:p w14:paraId="64D6FDA1" w14:textId="77777777" w:rsidR="007C3298" w:rsidRDefault="00000000">
      <w:pPr>
        <w:spacing w:after="120"/>
        <w:jc w:val="right"/>
      </w:pPr>
      <w:r>
        <w:rPr>
          <w:b/>
        </w:rPr>
        <w:t>תשובה תתאה – אני עוזב את החטא מתוך יראה וחרטה, ומקבל על עצמי שלא לחזור אליו.</w:t>
      </w:r>
    </w:p>
    <w:p w14:paraId="1E1FD4D8" w14:textId="6286BFB4" w:rsidR="007C3298" w:rsidRDefault="00000000" w:rsidP="00750518">
      <w:pPr>
        <w:jc w:val="right"/>
      </w:pPr>
      <w:r>
        <w:rPr>
          <w:b/>
        </w:rPr>
        <w:t xml:space="preserve">תשובה עילאה – אני יוצא מהצמצום של עצמי ותאוותיי, מתעלה לגדלות הדעת, מתמלא באהבת ה' ובקירבתו, עד שהאהבה </w:t>
      </w:r>
      <w:proofErr w:type="spellStart"/>
      <w:r>
        <w:rPr>
          <w:b/>
        </w:rPr>
        <w:t>עצמה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הופכת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לכוח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התיקון</w:t>
      </w:r>
      <w:proofErr w:type="spellEnd"/>
    </w:p>
    <w:sectPr w:rsidR="007C3298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9788999">
    <w:abstractNumId w:val="8"/>
  </w:num>
  <w:num w:numId="2" w16cid:durableId="980157983">
    <w:abstractNumId w:val="6"/>
  </w:num>
  <w:num w:numId="3" w16cid:durableId="1526402026">
    <w:abstractNumId w:val="5"/>
  </w:num>
  <w:num w:numId="4" w16cid:durableId="662632">
    <w:abstractNumId w:val="4"/>
  </w:num>
  <w:num w:numId="5" w16cid:durableId="318505161">
    <w:abstractNumId w:val="7"/>
  </w:num>
  <w:num w:numId="6" w16cid:durableId="1002970226">
    <w:abstractNumId w:val="3"/>
  </w:num>
  <w:num w:numId="7" w16cid:durableId="2054386526">
    <w:abstractNumId w:val="2"/>
  </w:num>
  <w:num w:numId="8" w16cid:durableId="1477182478">
    <w:abstractNumId w:val="1"/>
  </w:num>
  <w:num w:numId="9" w16cid:durableId="95394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0518"/>
    <w:rsid w:val="007C3298"/>
    <w:rsid w:val="00862F2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123309"/>
  <w14:defaultImageDpi w14:val="300"/>
  <w15:docId w15:val="{3AB7B456-1346-40AF-BA1B-2BDDAE90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David" w:eastAsia="David" w:hAnsi="David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איריס זנזורי</cp:lastModifiedBy>
  <cp:revision>2</cp:revision>
  <dcterms:created xsi:type="dcterms:W3CDTF">2026-08-26T17:06:00Z</dcterms:created>
  <dcterms:modified xsi:type="dcterms:W3CDTF">2026-08-26T17:06:00Z</dcterms:modified>
  <cp:category/>
</cp:coreProperties>
</file>